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– Югры Миненко Юлия Борисовна,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мирового судьи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ч.2 ст.15.33 КоАП РФ в отношении 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главного врача ФЕДЕРАЛЬНОГО БЮДЖЕТНОГО УЧРЕЖДЕНИЯ ЗДРАВООХРАНЕНИЯ «ЦЕНТР ГИГИЕНЫ И ЭПИДЕМИОЛОГИИ В ХАНТЫ-МАНСИЙСКОМ АВТОМНОНОМ ОКРУГЕ-ЮГРЕ»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Козловой Ирины Ивановны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Козлова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врачом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БЮДЖЕТНОГО УЧРЕЖДЕНИЯ ЗДРАВООХРАНЕНИЯ «ЦЕНТР ГИГИЕНЫ И ЭПИДЕМИОЛОГИИ В ХАНТЫ-МАНСИЙСКОМ АВТОМНОНОМ ОКРУГЕ-ЮГРЕ»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исполняя должностные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Рознина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подп.1-3 п.2 ст.11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sz w:val="28"/>
          <w:szCs w:val="28"/>
        </w:rPr>
        <w:t>до 24 часов 00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о застрахованных лицах по форме ЕФС-1 раздел 1 подраздел 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ОСФР по ХМАО-Югре,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часов 01 минут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Козлова И.И. в судебное заседание не явилась</w:t>
      </w:r>
      <w:r>
        <w:rPr>
          <w:rFonts w:ascii="Times New Roman" w:eastAsia="Times New Roman" w:hAnsi="Times New Roman" w:cs="Times New Roman"/>
          <w:sz w:val="28"/>
          <w:szCs w:val="28"/>
        </w:rPr>
        <w:t>, о месте и врем</w:t>
      </w:r>
      <w:r>
        <w:rPr>
          <w:rFonts w:ascii="Times New Roman" w:eastAsia="Times New Roman" w:hAnsi="Times New Roman" w:cs="Times New Roman"/>
          <w:sz w:val="28"/>
          <w:szCs w:val="28"/>
        </w:rPr>
        <w:t>ени судебного заседания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Козловой И.И.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Козлова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>Форма ЕФС-1 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ОСФР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ХМАО-Югре, фактически предоставив расчет по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отчетности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ЕФС-1 раздел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БЮДЖЕТНОГО УЧРЕЖДЕНИЯ ЗДРАВООХРАНЕНИЯ «ЦЕНТР ГИГИЕНЫ И ЭПИДЕМИОЛОГИИ В ХАНТЫ-МАНСИЙСКОМ АВТОМНОНОМ ОКРУГЕ-ЮГРЕ»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8"/>
          <w:szCs w:val="28"/>
        </w:rPr>
        <w:t>23.1, 29.10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БЮДЖЕТНОГО УЧРЕЖДЕНИЯ ЗДРАВООХРАНЕНИЯ «ЦЕНТР ГИГИЕНЫ И ЭПИДЕМИОЛОГИИ В ХАНТЫ-МАНСИЙСКОМ АВТОМНОНОМ ОКРУГЕ-ЮГРЕ»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Козловой Ирины Ивановны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8"/>
          <w:szCs w:val="28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 получателя: 8601002078 КПП получателя: 860101001 ОКТМО 71871000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БИК ТОФК-007162163 КБК 79711601230060003140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 получателя платежа (номер казначейского счета) 03100643000000018700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Кор/счет 40102810245370000007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797</w:t>
      </w:r>
      <w:r>
        <w:rPr>
          <w:rFonts w:ascii="Times New Roman" w:eastAsia="Times New Roman" w:hAnsi="Times New Roman" w:cs="Times New Roman"/>
          <w:sz w:val="28"/>
          <w:szCs w:val="28"/>
        </w:rPr>
        <w:t>8600</w:t>
      </w:r>
      <w:r>
        <w:rPr>
          <w:rFonts w:ascii="Times New Roman" w:eastAsia="Times New Roman" w:hAnsi="Times New Roman" w:cs="Times New Roman"/>
          <w:sz w:val="28"/>
          <w:szCs w:val="28"/>
        </w:rPr>
        <w:t>0403240072</w:t>
      </w:r>
      <w:r>
        <w:rPr>
          <w:rFonts w:ascii="Times New Roman" w:eastAsia="Times New Roman" w:hAnsi="Times New Roman" w:cs="Times New Roman"/>
          <w:sz w:val="28"/>
          <w:szCs w:val="28"/>
        </w:rPr>
        <w:t>484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 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160" w:line="257" w:lineRule="auto"/>
        <w:rPr>
          <w:sz w:val="28"/>
          <w:szCs w:val="28"/>
        </w:rPr>
      </w:pPr>
    </w:p>
    <w:sectPr>
      <w:headerReference w:type="default" r:id="rId8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677"/>
        <w:tab w:val="right" w:pos="9355"/>
      </w:tabs>
      <w:spacing w:before="0" w:after="0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  <w:sz w:val="28"/>
        <w:szCs w:val="28"/>
      </w:rPr>
      <w:t>д</w:t>
    </w:r>
    <w:r>
      <w:rPr>
        <w:rFonts w:ascii="Times New Roman" w:eastAsia="Times New Roman" w:hAnsi="Times New Roman" w:cs="Times New Roman"/>
        <w:sz w:val="28"/>
        <w:szCs w:val="28"/>
      </w:rPr>
      <w:t>ело №5-637</w:t>
    </w:r>
    <w:r>
      <w:rPr>
        <w:rFonts w:ascii="Times New Roman" w:eastAsia="Times New Roman" w:hAnsi="Times New Roman" w:cs="Times New Roman"/>
        <w:sz w:val="28"/>
        <w:szCs w:val="28"/>
      </w:rPr>
      <w:t>-2803/2024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